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3" w:rsidRPr="00C34BD7" w:rsidRDefault="00EE2FDF" w:rsidP="008075F3">
      <w:pPr>
        <w:rPr>
          <w:rFonts w:ascii="Times New Roman" w:hAnsi="Times New Roman" w:cs="Times New Roman"/>
        </w:rPr>
      </w:pPr>
      <w:r w:rsidRPr="00EE2FDF">
        <w:rPr>
          <w:rFonts w:ascii="Times New Roman" w:hAnsi="Times New Roman" w:cs="Times New Roman"/>
        </w:rPr>
        <w:t>POR</w:t>
      </w:r>
      <w:r w:rsidR="008075F3" w:rsidRPr="00EE2FDF">
        <w:rPr>
          <w:rFonts w:ascii="Times New Roman" w:hAnsi="Times New Roman" w:cs="Times New Roman"/>
        </w:rPr>
        <w:t>ADNIKI</w:t>
      </w:r>
      <w:r w:rsidR="008075F3" w:rsidRPr="00C34BD7">
        <w:rPr>
          <w:rFonts w:ascii="Times New Roman" w:hAnsi="Times New Roman" w:cs="Times New Roman"/>
        </w:rPr>
        <w:t xml:space="preserve">  METODYCZNE DLA NAUCZYCIELI –</w:t>
      </w:r>
      <w:r w:rsidR="008075F3">
        <w:rPr>
          <w:rFonts w:ascii="Times New Roman" w:hAnsi="Times New Roman" w:cs="Times New Roman"/>
        </w:rPr>
        <w:t xml:space="preserve"> </w:t>
      </w:r>
      <w:r w:rsidR="007C17D0">
        <w:rPr>
          <w:rFonts w:ascii="Times New Roman" w:hAnsi="Times New Roman" w:cs="Times New Roman"/>
        </w:rPr>
        <w:t>MARZEC 2020</w:t>
      </w:r>
    </w:p>
    <w:tbl>
      <w:tblPr>
        <w:tblStyle w:val="Tabela-Siatka"/>
        <w:tblW w:w="9606" w:type="dxa"/>
        <w:tblInd w:w="-459" w:type="dxa"/>
        <w:tblLayout w:type="fixed"/>
        <w:tblLook w:val="04A0" w:firstRow="1" w:lastRow="0" w:firstColumn="1" w:lastColumn="0" w:noHBand="0" w:noVBand="1"/>
      </w:tblPr>
      <w:tblGrid>
        <w:gridCol w:w="6946"/>
        <w:gridCol w:w="2660"/>
      </w:tblGrid>
      <w:tr w:rsidR="008075F3" w:rsidRPr="00210DA7" w:rsidTr="00F733B8">
        <w:tc>
          <w:tcPr>
            <w:tcW w:w="6946" w:type="dxa"/>
          </w:tcPr>
          <w:p w:rsidR="007F6042" w:rsidRPr="00C13AC4" w:rsidRDefault="007F6042" w:rsidP="00C65B7C">
            <w:pPr>
              <w:autoSpaceDE w:val="0"/>
              <w:autoSpaceDN w:val="0"/>
              <w:adjustRightInd w:val="0"/>
              <w:spacing w:after="0" w:line="240" w:lineRule="auto"/>
              <w:rPr>
                <w:rFonts w:ascii="Times New Roman" w:hAnsi="Times New Roman" w:cs="Times New Roman"/>
                <w:b/>
                <w:color w:val="00B050"/>
                <w:sz w:val="24"/>
                <w:szCs w:val="24"/>
              </w:rPr>
            </w:pPr>
          </w:p>
          <w:p w:rsidR="007316BE" w:rsidRDefault="007C17D0" w:rsidP="005F752A">
            <w:pPr>
              <w:autoSpaceDE w:val="0"/>
              <w:autoSpaceDN w:val="0"/>
              <w:adjustRightInd w:val="0"/>
              <w:spacing w:after="0" w:line="240" w:lineRule="auto"/>
              <w:jc w:val="both"/>
              <w:rPr>
                <w:rFonts w:ascii="Times New Roman" w:hAnsi="Times New Roman" w:cs="Times New Roman"/>
                <w:sz w:val="24"/>
                <w:szCs w:val="24"/>
              </w:rPr>
            </w:pPr>
            <w:r w:rsidRPr="007C17D0">
              <w:rPr>
                <w:rFonts w:ascii="Times New Roman" w:hAnsi="Times New Roman" w:cs="Times New Roman"/>
                <w:b/>
                <w:sz w:val="24"/>
                <w:szCs w:val="24"/>
              </w:rPr>
              <w:t>Vademecum nauczyciela : wdrażanie podstawy programo</w:t>
            </w:r>
            <w:r w:rsidRPr="007C17D0">
              <w:rPr>
                <w:rFonts w:ascii="Times New Roman" w:hAnsi="Times New Roman" w:cs="Times New Roman"/>
                <w:b/>
                <w:sz w:val="24"/>
                <w:szCs w:val="24"/>
              </w:rPr>
              <w:t xml:space="preserve">wej </w:t>
            </w:r>
            <w:r w:rsidR="005F752A">
              <w:rPr>
                <w:rFonts w:ascii="Times New Roman" w:hAnsi="Times New Roman" w:cs="Times New Roman"/>
                <w:b/>
                <w:sz w:val="24"/>
                <w:szCs w:val="24"/>
              </w:rPr>
              <w:br/>
            </w:r>
            <w:r w:rsidRPr="007C17D0">
              <w:rPr>
                <w:rFonts w:ascii="Times New Roman" w:hAnsi="Times New Roman" w:cs="Times New Roman"/>
                <w:b/>
                <w:sz w:val="24"/>
                <w:szCs w:val="24"/>
              </w:rPr>
              <w:t>w szkole ponadpodstawowej :</w:t>
            </w:r>
            <w:r w:rsidRPr="007C17D0">
              <w:rPr>
                <w:rFonts w:ascii="Times New Roman" w:hAnsi="Times New Roman" w:cs="Times New Roman"/>
                <w:b/>
                <w:sz w:val="24"/>
                <w:szCs w:val="24"/>
              </w:rPr>
              <w:t>filozofia, etyka</w:t>
            </w:r>
            <w:r w:rsidRPr="007C17D0">
              <w:rPr>
                <w:rFonts w:ascii="Times New Roman" w:hAnsi="Times New Roman" w:cs="Times New Roman"/>
                <w:sz w:val="24"/>
                <w:szCs w:val="24"/>
              </w:rPr>
              <w:t xml:space="preserve"> / Jacek Wojtysiak, Jacek Frydrych, Wiole</w:t>
            </w:r>
            <w:r w:rsidRPr="007C17D0">
              <w:rPr>
                <w:rFonts w:ascii="Times New Roman" w:hAnsi="Times New Roman" w:cs="Times New Roman"/>
                <w:sz w:val="24"/>
                <w:szCs w:val="24"/>
              </w:rPr>
              <w:t xml:space="preserve">tta Kozak ; oprac. na podstawie </w:t>
            </w:r>
            <w:r w:rsidRPr="007C17D0">
              <w:rPr>
                <w:rFonts w:ascii="Times New Roman" w:hAnsi="Times New Roman" w:cs="Times New Roman"/>
                <w:sz w:val="24"/>
                <w:szCs w:val="24"/>
              </w:rPr>
              <w:t>materiałów przygotowanych przez Ministerstwo Eduk</w:t>
            </w:r>
            <w:r w:rsidRPr="007C17D0">
              <w:rPr>
                <w:rFonts w:ascii="Times New Roman" w:hAnsi="Times New Roman" w:cs="Times New Roman"/>
                <w:sz w:val="24"/>
                <w:szCs w:val="24"/>
              </w:rPr>
              <w:t>acji Narodowej.-</w:t>
            </w:r>
            <w:r w:rsidRPr="007C17D0">
              <w:rPr>
                <w:rFonts w:ascii="Times New Roman" w:hAnsi="Times New Roman" w:cs="Times New Roman"/>
                <w:sz w:val="24"/>
                <w:szCs w:val="24"/>
              </w:rPr>
              <w:t>Warszawa : Oś</w:t>
            </w:r>
            <w:r w:rsidRPr="007C17D0">
              <w:rPr>
                <w:rFonts w:ascii="Times New Roman" w:hAnsi="Times New Roman" w:cs="Times New Roman"/>
                <w:sz w:val="24"/>
                <w:szCs w:val="24"/>
              </w:rPr>
              <w:t xml:space="preserve">rodek </w:t>
            </w:r>
            <w:r w:rsidRPr="007C17D0">
              <w:rPr>
                <w:rFonts w:ascii="Times New Roman" w:hAnsi="Times New Roman" w:cs="Times New Roman"/>
                <w:sz w:val="24"/>
                <w:szCs w:val="24"/>
              </w:rPr>
              <w:t>Rozwoju Edukacji 2019.</w:t>
            </w:r>
          </w:p>
          <w:p w:rsidR="007C17D0" w:rsidRDefault="007C17D0" w:rsidP="007C17D0">
            <w:pPr>
              <w:autoSpaceDE w:val="0"/>
              <w:autoSpaceDN w:val="0"/>
              <w:adjustRightInd w:val="0"/>
              <w:spacing w:after="0" w:line="240" w:lineRule="auto"/>
              <w:rPr>
                <w:rFonts w:ascii="Times New Roman" w:hAnsi="Times New Roman" w:cs="Times New Roman"/>
                <w:sz w:val="24"/>
                <w:szCs w:val="24"/>
              </w:rPr>
            </w:pPr>
          </w:p>
          <w:p w:rsidR="007C17D0" w:rsidRDefault="007C17D0" w:rsidP="007C17D0">
            <w:pPr>
              <w:autoSpaceDE w:val="0"/>
              <w:autoSpaceDN w:val="0"/>
              <w:adjustRightInd w:val="0"/>
              <w:spacing w:after="0" w:line="240" w:lineRule="auto"/>
              <w:rPr>
                <w:rFonts w:ascii="Times New Roman" w:hAnsi="Times New Roman" w:cs="Times New Roman"/>
                <w:sz w:val="24"/>
                <w:szCs w:val="24"/>
              </w:rPr>
            </w:pPr>
            <w:r w:rsidRPr="007C17D0">
              <w:rPr>
                <w:rFonts w:ascii="Times New Roman" w:hAnsi="Times New Roman" w:cs="Times New Roman"/>
                <w:sz w:val="24"/>
                <w:szCs w:val="24"/>
              </w:rPr>
              <w:t xml:space="preserve">Przemyśl </w:t>
            </w:r>
            <w:proofErr w:type="spellStart"/>
            <w:r w:rsidRPr="007C17D0">
              <w:rPr>
                <w:rFonts w:ascii="Times New Roman" w:hAnsi="Times New Roman" w:cs="Times New Roman"/>
                <w:sz w:val="24"/>
                <w:szCs w:val="24"/>
              </w:rPr>
              <w:t>CzP</w:t>
            </w:r>
            <w:proofErr w:type="spellEnd"/>
            <w:r w:rsidRPr="007C17D0">
              <w:rPr>
                <w:rFonts w:ascii="Times New Roman" w:hAnsi="Times New Roman" w:cs="Times New Roman"/>
                <w:sz w:val="24"/>
                <w:szCs w:val="24"/>
              </w:rPr>
              <w:t xml:space="preserve"> 37.091.214</w:t>
            </w:r>
          </w:p>
          <w:p w:rsidR="00AF5204" w:rsidRDefault="00AF5204" w:rsidP="00AF5204">
            <w:pPr>
              <w:autoSpaceDE w:val="0"/>
              <w:autoSpaceDN w:val="0"/>
              <w:adjustRightInd w:val="0"/>
              <w:spacing w:after="0" w:line="240" w:lineRule="auto"/>
              <w:rPr>
                <w:rFonts w:cs="Myriad Pro"/>
                <w:color w:val="000000"/>
                <w:sz w:val="23"/>
                <w:szCs w:val="23"/>
              </w:rPr>
            </w:pPr>
          </w:p>
          <w:p w:rsidR="00AF5204" w:rsidRDefault="00AF5204" w:rsidP="005F752A">
            <w:pPr>
              <w:autoSpaceDE w:val="0"/>
              <w:autoSpaceDN w:val="0"/>
              <w:adjustRightInd w:val="0"/>
              <w:spacing w:after="0" w:line="240" w:lineRule="auto"/>
              <w:jc w:val="both"/>
              <w:rPr>
                <w:rFonts w:ascii="Times New Roman" w:hAnsi="Times New Roman" w:cs="Times New Roman"/>
                <w:color w:val="000000"/>
                <w:sz w:val="24"/>
                <w:szCs w:val="24"/>
              </w:rPr>
            </w:pPr>
            <w:r w:rsidRPr="005F752A">
              <w:rPr>
                <w:rFonts w:ascii="Times New Roman" w:hAnsi="Times New Roman" w:cs="Times New Roman"/>
                <w:color w:val="000000"/>
                <w:sz w:val="24"/>
                <w:szCs w:val="24"/>
              </w:rPr>
              <w:t>Przygotowaliśmy dla Państwa publikację, której celem jest przybliżenie najważniejszych założeń reformy edukacji w liceum ogólnokształcącym oraz technikum</w:t>
            </w:r>
            <w:r w:rsidRPr="005F752A">
              <w:rPr>
                <w:rStyle w:val="A7"/>
                <w:rFonts w:ascii="Times New Roman" w:hAnsi="Times New Roman" w:cs="Times New Roman"/>
                <w:sz w:val="24"/>
                <w:szCs w:val="24"/>
              </w:rPr>
              <w:t>1</w:t>
            </w:r>
            <w:r w:rsidRPr="005F752A">
              <w:rPr>
                <w:rFonts w:ascii="Times New Roman" w:hAnsi="Times New Roman" w:cs="Times New Roman"/>
                <w:color w:val="000000"/>
                <w:sz w:val="24"/>
                <w:szCs w:val="24"/>
              </w:rPr>
              <w:t xml:space="preserve">. Wprowadzone zmiany wydłużyły czas nauki w liceum do 4 lat, a w technikum – do 5. </w:t>
            </w:r>
          </w:p>
          <w:p w:rsidR="00250659" w:rsidRPr="005F752A" w:rsidRDefault="00250659" w:rsidP="005F752A">
            <w:pPr>
              <w:autoSpaceDE w:val="0"/>
              <w:autoSpaceDN w:val="0"/>
              <w:adjustRightInd w:val="0"/>
              <w:spacing w:after="0" w:line="240" w:lineRule="auto"/>
              <w:jc w:val="both"/>
              <w:rPr>
                <w:rFonts w:ascii="Times New Roman" w:hAnsi="Times New Roman" w:cs="Times New Roman"/>
                <w:sz w:val="24"/>
                <w:szCs w:val="24"/>
              </w:rPr>
            </w:pPr>
          </w:p>
        </w:tc>
        <w:tc>
          <w:tcPr>
            <w:tcW w:w="2660" w:type="dxa"/>
          </w:tcPr>
          <w:p w:rsidR="008075F3" w:rsidRPr="00C13AC4" w:rsidRDefault="007C17D0" w:rsidP="00F733B8">
            <w:pPr>
              <w:pStyle w:val="book-desc"/>
              <w:shd w:val="clear" w:color="auto" w:fill="FFFFFF"/>
              <w:rPr>
                <w:rFonts w:ascii="Verdana" w:hAnsi="Verdana"/>
                <w:color w:val="00B050"/>
              </w:rPr>
            </w:pPr>
            <w:r>
              <w:rPr>
                <w:noProof/>
              </w:rPr>
              <w:drawing>
                <wp:inline distT="0" distB="0" distL="0" distR="0">
                  <wp:extent cx="1529106" cy="2161540"/>
                  <wp:effectExtent l="0" t="0" r="0" b="0"/>
                  <wp:docPr id="2" name="Obraz 2" descr="Znalezione obrazy dla zapytania: Vademecum nauczyciela : wdrażanie podstawy programowej w szkole ponadpodstawowej :filozofia, et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Vademecum nauczyciela : wdrażanie podstawy programowej w szkole ponadpodstawowej :filozofia, ety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007" cy="2195327"/>
                          </a:xfrm>
                          <a:prstGeom prst="rect">
                            <a:avLst/>
                          </a:prstGeom>
                          <a:noFill/>
                          <a:ln>
                            <a:noFill/>
                          </a:ln>
                        </pic:spPr>
                      </pic:pic>
                    </a:graphicData>
                  </a:graphic>
                </wp:inline>
              </w:drawing>
            </w:r>
          </w:p>
        </w:tc>
      </w:tr>
      <w:tr w:rsidR="008075F3" w:rsidTr="00F733B8">
        <w:trPr>
          <w:trHeight w:val="3133"/>
        </w:trPr>
        <w:tc>
          <w:tcPr>
            <w:tcW w:w="6946" w:type="dxa"/>
          </w:tcPr>
          <w:p w:rsidR="005F752A" w:rsidRDefault="005F752A" w:rsidP="005F752A">
            <w:pPr>
              <w:autoSpaceDE w:val="0"/>
              <w:autoSpaceDN w:val="0"/>
              <w:adjustRightInd w:val="0"/>
              <w:spacing w:after="0" w:line="240" w:lineRule="auto"/>
              <w:rPr>
                <w:rFonts w:ascii="DejaVuSerifCondensed" w:hAnsi="DejaVuSerifCondensed" w:cs="DejaVuSerifCondensed"/>
              </w:rPr>
            </w:pPr>
          </w:p>
          <w:p w:rsidR="007F6042" w:rsidRPr="00250659" w:rsidRDefault="005F752A" w:rsidP="005F752A">
            <w:pPr>
              <w:autoSpaceDE w:val="0"/>
              <w:autoSpaceDN w:val="0"/>
              <w:adjustRightInd w:val="0"/>
              <w:spacing w:after="0" w:line="240" w:lineRule="auto"/>
              <w:rPr>
                <w:rFonts w:ascii="Times New Roman" w:hAnsi="Times New Roman" w:cs="Times New Roman"/>
                <w:sz w:val="24"/>
                <w:szCs w:val="24"/>
              </w:rPr>
            </w:pPr>
            <w:r w:rsidRPr="00250659">
              <w:rPr>
                <w:rFonts w:ascii="Times New Roman" w:hAnsi="Times New Roman" w:cs="Times New Roman"/>
                <w:b/>
                <w:sz w:val="24"/>
                <w:szCs w:val="24"/>
              </w:rPr>
              <w:t>Socjoterapia w pracy z dziećmi i młodzieżą : programy zajęć</w:t>
            </w:r>
            <w:r w:rsidRPr="00250659">
              <w:rPr>
                <w:rFonts w:ascii="Times New Roman" w:hAnsi="Times New Roman" w:cs="Times New Roman"/>
                <w:b/>
                <w:sz w:val="24"/>
                <w:szCs w:val="24"/>
              </w:rPr>
              <w:t>. Cz. 4</w:t>
            </w:r>
            <w:r w:rsidRPr="00250659">
              <w:rPr>
                <w:rFonts w:ascii="Times New Roman" w:hAnsi="Times New Roman" w:cs="Times New Roman"/>
                <w:sz w:val="24"/>
                <w:szCs w:val="24"/>
              </w:rPr>
              <w:t xml:space="preserve"> / pod red. nauk. Ewy </w:t>
            </w:r>
            <w:proofErr w:type="spellStart"/>
            <w:r w:rsidRPr="00250659">
              <w:rPr>
                <w:rFonts w:ascii="Times New Roman" w:hAnsi="Times New Roman" w:cs="Times New Roman"/>
                <w:sz w:val="24"/>
                <w:szCs w:val="24"/>
              </w:rPr>
              <w:t>Grudziewskiej</w:t>
            </w:r>
            <w:proofErr w:type="spellEnd"/>
            <w:r w:rsidRPr="00250659">
              <w:rPr>
                <w:rFonts w:ascii="Times New Roman" w:hAnsi="Times New Roman" w:cs="Times New Roman"/>
                <w:sz w:val="24"/>
                <w:szCs w:val="24"/>
              </w:rPr>
              <w:t>. - Warszawa : "</w:t>
            </w:r>
            <w:proofErr w:type="spellStart"/>
            <w:r w:rsidRPr="00250659">
              <w:rPr>
                <w:rFonts w:ascii="Times New Roman" w:hAnsi="Times New Roman" w:cs="Times New Roman"/>
                <w:sz w:val="24"/>
                <w:szCs w:val="24"/>
              </w:rPr>
              <w:t>Difin</w:t>
            </w:r>
            <w:proofErr w:type="spellEnd"/>
            <w:r w:rsidRPr="00250659">
              <w:rPr>
                <w:rFonts w:ascii="Times New Roman" w:hAnsi="Times New Roman" w:cs="Times New Roman"/>
                <w:sz w:val="24"/>
                <w:szCs w:val="24"/>
              </w:rPr>
              <w:t>" 2019.</w:t>
            </w:r>
          </w:p>
          <w:p w:rsidR="002D0A21" w:rsidRDefault="002D0A21" w:rsidP="00AF5204">
            <w:pPr>
              <w:autoSpaceDE w:val="0"/>
              <w:autoSpaceDN w:val="0"/>
              <w:adjustRightInd w:val="0"/>
              <w:spacing w:after="0" w:line="240" w:lineRule="auto"/>
              <w:jc w:val="both"/>
              <w:rPr>
                <w:rFonts w:ascii="Times New Roman" w:hAnsi="Times New Roman" w:cs="Times New Roman"/>
                <w:sz w:val="24"/>
                <w:szCs w:val="24"/>
              </w:rPr>
            </w:pPr>
          </w:p>
          <w:p w:rsidR="005F752A" w:rsidRDefault="005F752A" w:rsidP="00AF5204">
            <w:pPr>
              <w:autoSpaceDE w:val="0"/>
              <w:autoSpaceDN w:val="0"/>
              <w:adjustRightInd w:val="0"/>
              <w:spacing w:after="0" w:line="240" w:lineRule="auto"/>
              <w:jc w:val="both"/>
              <w:rPr>
                <w:rFonts w:ascii="Times New Roman" w:hAnsi="Times New Roman" w:cs="Times New Roman"/>
                <w:sz w:val="24"/>
                <w:szCs w:val="24"/>
              </w:rPr>
            </w:pPr>
            <w:r w:rsidRPr="005F752A">
              <w:rPr>
                <w:rFonts w:ascii="Times New Roman" w:hAnsi="Times New Roman" w:cs="Times New Roman"/>
                <w:sz w:val="24"/>
                <w:szCs w:val="24"/>
              </w:rPr>
              <w:t xml:space="preserve">Przemyśl </w:t>
            </w:r>
            <w:r w:rsidRPr="005F752A">
              <w:rPr>
                <w:rFonts w:ascii="Times New Roman" w:hAnsi="Times New Roman" w:cs="Times New Roman"/>
                <w:sz w:val="24"/>
                <w:szCs w:val="24"/>
              </w:rPr>
              <w:t>WP 114275</w:t>
            </w:r>
          </w:p>
          <w:p w:rsidR="005F752A" w:rsidRDefault="005F752A" w:rsidP="00AF5204">
            <w:pPr>
              <w:autoSpaceDE w:val="0"/>
              <w:autoSpaceDN w:val="0"/>
              <w:adjustRightInd w:val="0"/>
              <w:spacing w:after="0" w:line="240" w:lineRule="auto"/>
              <w:jc w:val="both"/>
              <w:rPr>
                <w:rFonts w:ascii="Times New Roman" w:hAnsi="Times New Roman" w:cs="Times New Roman"/>
                <w:sz w:val="24"/>
                <w:szCs w:val="24"/>
              </w:rPr>
            </w:pPr>
          </w:p>
          <w:p w:rsidR="005F752A" w:rsidRPr="005F752A" w:rsidRDefault="005F752A" w:rsidP="00AF5204">
            <w:pPr>
              <w:autoSpaceDE w:val="0"/>
              <w:autoSpaceDN w:val="0"/>
              <w:adjustRightInd w:val="0"/>
              <w:spacing w:after="0" w:line="240" w:lineRule="auto"/>
              <w:jc w:val="both"/>
              <w:rPr>
                <w:rFonts w:ascii="Times New Roman" w:hAnsi="Times New Roman" w:cs="Times New Roman"/>
                <w:sz w:val="24"/>
                <w:szCs w:val="24"/>
              </w:rPr>
            </w:pPr>
            <w:r w:rsidRPr="005F752A">
              <w:rPr>
                <w:rFonts w:ascii="Times New Roman" w:hAnsi="Times New Roman" w:cs="Times New Roman"/>
                <w:iCs/>
                <w:sz w:val="24"/>
                <w:szCs w:val="24"/>
              </w:rPr>
              <w:t>Publikacja jest już czwartą częścią z serii dotyczącej programów i scenariuszy zajęć socjoterapeutycznych dla dzieci ze szkół podstawowych oraz uczniów szkół ponadpodstawowych i różnego typu placówek oferujących młodzieży wsparcie wychowawcze, terapeutyczne i rozwojowe. (...) Zainteresowany Czytelnik otrzymuje materiał, starannie wydany w kolejnych spójnych w warstwie estetycznej tomach, dotyczący zastosowań socjoterapii w różnorodnej praktyce pedagogiczno-psychologicznej.</w:t>
            </w:r>
          </w:p>
          <w:p w:rsidR="005F752A" w:rsidRDefault="005F752A" w:rsidP="00AF5204">
            <w:pPr>
              <w:autoSpaceDE w:val="0"/>
              <w:autoSpaceDN w:val="0"/>
              <w:adjustRightInd w:val="0"/>
              <w:spacing w:after="0" w:line="240" w:lineRule="auto"/>
              <w:jc w:val="both"/>
              <w:rPr>
                <w:rFonts w:ascii="Times New Roman" w:hAnsi="Times New Roman" w:cs="Times New Roman"/>
                <w:sz w:val="24"/>
                <w:szCs w:val="24"/>
              </w:rPr>
            </w:pPr>
          </w:p>
          <w:p w:rsidR="005F752A" w:rsidRPr="005F752A" w:rsidRDefault="005F752A" w:rsidP="00AF5204">
            <w:pPr>
              <w:autoSpaceDE w:val="0"/>
              <w:autoSpaceDN w:val="0"/>
              <w:adjustRightInd w:val="0"/>
              <w:spacing w:after="0" w:line="240" w:lineRule="auto"/>
              <w:jc w:val="both"/>
              <w:rPr>
                <w:rFonts w:ascii="Times New Roman" w:hAnsi="Times New Roman" w:cs="Times New Roman"/>
                <w:sz w:val="24"/>
                <w:szCs w:val="24"/>
              </w:rPr>
            </w:pPr>
          </w:p>
        </w:tc>
        <w:tc>
          <w:tcPr>
            <w:tcW w:w="2660" w:type="dxa"/>
          </w:tcPr>
          <w:p w:rsidR="008075F3" w:rsidRDefault="005F752A" w:rsidP="00F733B8">
            <w:pPr>
              <w:rPr>
                <w:rFonts w:ascii="Arial" w:hAnsi="Arial" w:cs="Arial"/>
                <w:noProof/>
                <w:color w:val="666666"/>
                <w:sz w:val="15"/>
                <w:szCs w:val="15"/>
                <w:lang w:eastAsia="pl-PL"/>
              </w:rPr>
            </w:pPr>
            <w:r>
              <w:rPr>
                <w:noProof/>
                <w:lang w:eastAsia="pl-PL"/>
              </w:rPr>
              <w:drawing>
                <wp:inline distT="0" distB="0" distL="0" distR="0">
                  <wp:extent cx="1543050" cy="2036826"/>
                  <wp:effectExtent l="0" t="0" r="0" b="1905"/>
                  <wp:docPr id="6" name="Obraz 6" descr="Socjoterapia w pracy z dziećmi i młodzieżą. Programy zajęć. Częś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joterapia w pracy z dziećmi i młodzieżą. Programy zajęć. Częś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3144" cy="2050149"/>
                          </a:xfrm>
                          <a:prstGeom prst="rect">
                            <a:avLst/>
                          </a:prstGeom>
                          <a:noFill/>
                          <a:ln>
                            <a:noFill/>
                          </a:ln>
                        </pic:spPr>
                      </pic:pic>
                    </a:graphicData>
                  </a:graphic>
                </wp:inline>
              </w:drawing>
            </w:r>
          </w:p>
          <w:p w:rsidR="0047710E" w:rsidRDefault="0047710E" w:rsidP="00F733B8">
            <w:pPr>
              <w:rPr>
                <w:rFonts w:ascii="Arial" w:hAnsi="Arial" w:cs="Arial"/>
                <w:noProof/>
                <w:color w:val="666666"/>
                <w:sz w:val="15"/>
                <w:szCs w:val="15"/>
                <w:lang w:eastAsia="pl-PL"/>
              </w:rPr>
            </w:pPr>
          </w:p>
          <w:p w:rsidR="008075F3" w:rsidRDefault="008075F3" w:rsidP="00F733B8"/>
        </w:tc>
      </w:tr>
      <w:tr w:rsidR="008075F3" w:rsidTr="00F733B8">
        <w:tc>
          <w:tcPr>
            <w:tcW w:w="6946" w:type="dxa"/>
          </w:tcPr>
          <w:p w:rsidR="007F6042" w:rsidRDefault="007F6042" w:rsidP="006708B7">
            <w:pPr>
              <w:autoSpaceDE w:val="0"/>
              <w:autoSpaceDN w:val="0"/>
              <w:adjustRightInd w:val="0"/>
              <w:spacing w:after="0" w:line="240" w:lineRule="auto"/>
              <w:rPr>
                <w:rFonts w:ascii="Times New Roman" w:hAnsi="Times New Roman" w:cs="Times New Roman"/>
                <w:sz w:val="24"/>
                <w:szCs w:val="24"/>
              </w:rPr>
            </w:pPr>
          </w:p>
          <w:p w:rsidR="002D0A21" w:rsidRDefault="00AF5204" w:rsidP="005F752A">
            <w:pPr>
              <w:autoSpaceDE w:val="0"/>
              <w:autoSpaceDN w:val="0"/>
              <w:adjustRightInd w:val="0"/>
              <w:spacing w:after="0" w:line="240" w:lineRule="auto"/>
              <w:jc w:val="both"/>
              <w:rPr>
                <w:rFonts w:ascii="DejaVuSerifCondensed" w:hAnsi="DejaVuSerifCondensed" w:cs="DejaVuSerifCondensed"/>
              </w:rPr>
            </w:pPr>
            <w:r w:rsidRPr="00AF5204">
              <w:rPr>
                <w:rFonts w:ascii="Times New Roman" w:hAnsi="Times New Roman" w:cs="Times New Roman"/>
                <w:b/>
                <w:sz w:val="24"/>
                <w:szCs w:val="24"/>
              </w:rPr>
              <w:t>Vademecum nauczyciela : wdrażanie podstawy programo</w:t>
            </w:r>
            <w:r w:rsidRPr="00AF5204">
              <w:rPr>
                <w:rFonts w:ascii="Times New Roman" w:hAnsi="Times New Roman" w:cs="Times New Roman"/>
                <w:b/>
                <w:sz w:val="24"/>
                <w:szCs w:val="24"/>
              </w:rPr>
              <w:t xml:space="preserve">wej </w:t>
            </w:r>
            <w:r>
              <w:rPr>
                <w:rFonts w:ascii="Times New Roman" w:hAnsi="Times New Roman" w:cs="Times New Roman"/>
                <w:b/>
                <w:sz w:val="24"/>
                <w:szCs w:val="24"/>
              </w:rPr>
              <w:br/>
            </w:r>
            <w:r w:rsidRPr="00AF5204">
              <w:rPr>
                <w:rFonts w:ascii="Times New Roman" w:hAnsi="Times New Roman" w:cs="Times New Roman"/>
                <w:b/>
                <w:sz w:val="24"/>
                <w:szCs w:val="24"/>
              </w:rPr>
              <w:t xml:space="preserve">w szkole ponadpodstawowej : </w:t>
            </w:r>
            <w:r w:rsidRPr="00AF5204">
              <w:rPr>
                <w:rFonts w:ascii="Times New Roman" w:hAnsi="Times New Roman" w:cs="Times New Roman"/>
                <w:b/>
                <w:sz w:val="24"/>
                <w:szCs w:val="24"/>
              </w:rPr>
              <w:t>wiedza o społeczeństwie</w:t>
            </w:r>
            <w:r w:rsidRPr="00AF5204">
              <w:rPr>
                <w:rFonts w:ascii="Times New Roman" w:hAnsi="Times New Roman" w:cs="Times New Roman"/>
                <w:sz w:val="24"/>
                <w:szCs w:val="24"/>
              </w:rPr>
              <w:t xml:space="preserve"> / Piotr Załęski, Janusz Korzeniowski,</w:t>
            </w:r>
            <w:r w:rsidRPr="00AF5204">
              <w:rPr>
                <w:rFonts w:ascii="Times New Roman" w:hAnsi="Times New Roman" w:cs="Times New Roman"/>
                <w:sz w:val="24"/>
                <w:szCs w:val="24"/>
              </w:rPr>
              <w:t xml:space="preserve"> Wioletta Kozak ; opracowano na </w:t>
            </w:r>
            <w:r w:rsidRPr="00AF5204">
              <w:rPr>
                <w:rFonts w:ascii="Times New Roman" w:hAnsi="Times New Roman" w:cs="Times New Roman"/>
                <w:sz w:val="24"/>
                <w:szCs w:val="24"/>
              </w:rPr>
              <w:t>podstawie materiałów przygotowanych przez Ministerstwo E</w:t>
            </w:r>
            <w:r w:rsidRPr="00AF5204">
              <w:rPr>
                <w:rFonts w:ascii="Times New Roman" w:hAnsi="Times New Roman" w:cs="Times New Roman"/>
                <w:sz w:val="24"/>
                <w:szCs w:val="24"/>
              </w:rPr>
              <w:t>dukacji Narodowej. - Warszawa :</w:t>
            </w:r>
            <w:r w:rsidRPr="00AF5204">
              <w:rPr>
                <w:rFonts w:ascii="Times New Roman" w:hAnsi="Times New Roman" w:cs="Times New Roman"/>
                <w:sz w:val="24"/>
                <w:szCs w:val="24"/>
              </w:rPr>
              <w:t>Ośrodek Rozwoju Edukacji 2019</w:t>
            </w:r>
            <w:r>
              <w:rPr>
                <w:rFonts w:ascii="DejaVuSerifCondensed" w:hAnsi="DejaVuSerifCondensed" w:cs="DejaVuSerifCondensed"/>
              </w:rPr>
              <w:t>.</w:t>
            </w:r>
          </w:p>
          <w:p w:rsidR="005F752A" w:rsidRDefault="005F752A" w:rsidP="005F752A">
            <w:pPr>
              <w:autoSpaceDE w:val="0"/>
              <w:autoSpaceDN w:val="0"/>
              <w:adjustRightInd w:val="0"/>
              <w:spacing w:after="0" w:line="240" w:lineRule="auto"/>
              <w:jc w:val="both"/>
              <w:rPr>
                <w:rFonts w:ascii="DejaVuSerifCondensed" w:hAnsi="DejaVuSerifCondensed" w:cs="DejaVuSerifCondensed"/>
              </w:rPr>
            </w:pPr>
          </w:p>
          <w:p w:rsidR="005F752A" w:rsidRDefault="005F752A" w:rsidP="005F752A">
            <w:pPr>
              <w:autoSpaceDE w:val="0"/>
              <w:autoSpaceDN w:val="0"/>
              <w:adjustRightInd w:val="0"/>
              <w:spacing w:after="0" w:line="240" w:lineRule="auto"/>
              <w:rPr>
                <w:rFonts w:ascii="Times New Roman" w:hAnsi="Times New Roman" w:cs="Times New Roman"/>
                <w:sz w:val="24"/>
                <w:szCs w:val="24"/>
              </w:rPr>
            </w:pPr>
            <w:r w:rsidRPr="007C17D0">
              <w:rPr>
                <w:rFonts w:ascii="Times New Roman" w:hAnsi="Times New Roman" w:cs="Times New Roman"/>
                <w:sz w:val="24"/>
                <w:szCs w:val="24"/>
              </w:rPr>
              <w:t xml:space="preserve">Przemyśl </w:t>
            </w:r>
            <w:proofErr w:type="spellStart"/>
            <w:r w:rsidRPr="007C17D0">
              <w:rPr>
                <w:rFonts w:ascii="Times New Roman" w:hAnsi="Times New Roman" w:cs="Times New Roman"/>
                <w:sz w:val="24"/>
                <w:szCs w:val="24"/>
              </w:rPr>
              <w:t>CzP</w:t>
            </w:r>
            <w:proofErr w:type="spellEnd"/>
            <w:r w:rsidRPr="007C17D0">
              <w:rPr>
                <w:rFonts w:ascii="Times New Roman" w:hAnsi="Times New Roman" w:cs="Times New Roman"/>
                <w:sz w:val="24"/>
                <w:szCs w:val="24"/>
              </w:rPr>
              <w:t xml:space="preserve"> 37.091.214</w:t>
            </w:r>
          </w:p>
          <w:p w:rsidR="005F752A" w:rsidRDefault="005F752A" w:rsidP="005F752A">
            <w:pPr>
              <w:autoSpaceDE w:val="0"/>
              <w:autoSpaceDN w:val="0"/>
              <w:adjustRightInd w:val="0"/>
              <w:spacing w:after="0" w:line="240" w:lineRule="auto"/>
              <w:jc w:val="both"/>
              <w:rPr>
                <w:rFonts w:ascii="DejaVuSerifCondensed" w:hAnsi="DejaVuSerifCondensed" w:cs="DejaVuSerifCondensed"/>
              </w:rPr>
            </w:pPr>
          </w:p>
          <w:p w:rsidR="00AF5204" w:rsidRPr="005F752A" w:rsidRDefault="00AF5204" w:rsidP="005F752A">
            <w:pPr>
              <w:autoSpaceDE w:val="0"/>
              <w:autoSpaceDN w:val="0"/>
              <w:adjustRightInd w:val="0"/>
              <w:spacing w:after="0" w:line="240" w:lineRule="auto"/>
              <w:jc w:val="both"/>
              <w:rPr>
                <w:rFonts w:ascii="Times New Roman" w:hAnsi="Times New Roman" w:cs="Times New Roman"/>
                <w:sz w:val="24"/>
                <w:szCs w:val="24"/>
              </w:rPr>
            </w:pPr>
            <w:r w:rsidRPr="005F752A">
              <w:rPr>
                <w:rFonts w:ascii="Times New Roman" w:hAnsi="Times New Roman" w:cs="Times New Roman"/>
                <w:sz w:val="24"/>
                <w:szCs w:val="24"/>
              </w:rPr>
              <w:t>Wdrażanie podstawy programowej w szkole ponadpodstawowej” został przygotowany przez twórców podstawy programowej obowiązującej w liceach i technikach od września 2019 r. Zawiera zarówno teoretyczne rozważania dotyczące treści aktu prawnego, jak i praktyczne wskazania dla nauczycieli pomagające zastosować te zapisy w codziennej pracy. Każdy z poradników składa się z części zawierającej preambułę kształcenia ogólnego oraz podstawę programową danego przedmiotu, a także z komentarza ekspertów i wskazówek metodycznych obfitujących w przykładowe zagadnienia i ćwiczenia do wykorzystania w pracy z uczniami.</w:t>
            </w:r>
          </w:p>
        </w:tc>
        <w:tc>
          <w:tcPr>
            <w:tcW w:w="2660" w:type="dxa"/>
          </w:tcPr>
          <w:p w:rsidR="0047710E" w:rsidRDefault="00AF5204" w:rsidP="00F733B8">
            <w:pPr>
              <w:rPr>
                <w:rFonts w:ascii="Times New Roman" w:hAnsi="Times New Roman" w:cs="Times New Roman"/>
                <w:noProof/>
                <w:color w:val="00529B"/>
                <w:sz w:val="24"/>
                <w:szCs w:val="24"/>
                <w:lang w:eastAsia="pl-PL"/>
              </w:rPr>
            </w:pPr>
            <w:r>
              <w:rPr>
                <w:noProof/>
                <w:lang w:eastAsia="pl-PL"/>
              </w:rPr>
              <w:drawing>
                <wp:inline distT="0" distB="0" distL="0" distR="0">
                  <wp:extent cx="1590675" cy="2246828"/>
                  <wp:effectExtent l="0" t="0" r="0" b="1270"/>
                  <wp:docPr id="4" name="Obraz 4" descr="Znalezione obrazy dla zapytania: Vademecum nauczyciela : wdrażanie podstawy programowej w szkole ponadpodstawowej : matemat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Vademecum nauczyciela : wdrażanie podstawy programowej w szkole ponadpodstawowej : matematy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893" cy="2264086"/>
                          </a:xfrm>
                          <a:prstGeom prst="rect">
                            <a:avLst/>
                          </a:prstGeom>
                          <a:noFill/>
                          <a:ln>
                            <a:noFill/>
                          </a:ln>
                        </pic:spPr>
                      </pic:pic>
                    </a:graphicData>
                  </a:graphic>
                </wp:inline>
              </w:drawing>
            </w:r>
          </w:p>
          <w:p w:rsidR="008075F3" w:rsidRPr="0014201E" w:rsidRDefault="008075F3" w:rsidP="002E5024">
            <w:pPr>
              <w:jc w:val="center"/>
              <w:rPr>
                <w:rFonts w:ascii="Times New Roman" w:hAnsi="Times New Roman" w:cs="Times New Roman"/>
                <w:noProof/>
                <w:color w:val="00529B"/>
                <w:sz w:val="24"/>
                <w:szCs w:val="24"/>
                <w:lang w:eastAsia="pl-PL"/>
              </w:rPr>
            </w:pPr>
          </w:p>
        </w:tc>
      </w:tr>
    </w:tbl>
    <w:p w:rsidR="008C04CC" w:rsidRDefault="008C04CC"/>
    <w:tbl>
      <w:tblPr>
        <w:tblStyle w:val="Tabela-Siatka"/>
        <w:tblW w:w="9606" w:type="dxa"/>
        <w:tblInd w:w="-459" w:type="dxa"/>
        <w:tblLayout w:type="fixed"/>
        <w:tblLook w:val="04A0" w:firstRow="1" w:lastRow="0" w:firstColumn="1" w:lastColumn="0" w:noHBand="0" w:noVBand="1"/>
      </w:tblPr>
      <w:tblGrid>
        <w:gridCol w:w="6946"/>
        <w:gridCol w:w="2660"/>
      </w:tblGrid>
      <w:tr w:rsidR="008075F3" w:rsidTr="00714F19">
        <w:tc>
          <w:tcPr>
            <w:tcW w:w="6946" w:type="dxa"/>
          </w:tcPr>
          <w:p w:rsidR="001F320A" w:rsidRDefault="001F320A" w:rsidP="007F6042">
            <w:pPr>
              <w:autoSpaceDE w:val="0"/>
              <w:autoSpaceDN w:val="0"/>
              <w:adjustRightInd w:val="0"/>
              <w:spacing w:after="0" w:line="240" w:lineRule="auto"/>
              <w:jc w:val="both"/>
              <w:rPr>
                <w:rFonts w:ascii="Times New Roman" w:hAnsi="Times New Roman" w:cs="Times New Roman"/>
                <w:sz w:val="24"/>
                <w:szCs w:val="24"/>
              </w:rPr>
            </w:pPr>
          </w:p>
          <w:p w:rsidR="00714F19" w:rsidRPr="00250659" w:rsidRDefault="00250659" w:rsidP="00250659">
            <w:pPr>
              <w:autoSpaceDE w:val="0"/>
              <w:autoSpaceDN w:val="0"/>
              <w:adjustRightInd w:val="0"/>
              <w:spacing w:after="0" w:line="240" w:lineRule="auto"/>
              <w:jc w:val="both"/>
              <w:rPr>
                <w:rFonts w:ascii="Times New Roman" w:hAnsi="Times New Roman" w:cs="Times New Roman"/>
                <w:sz w:val="24"/>
                <w:szCs w:val="24"/>
              </w:rPr>
            </w:pPr>
            <w:r w:rsidRPr="00250659">
              <w:rPr>
                <w:rFonts w:ascii="Times New Roman" w:hAnsi="Times New Roman" w:cs="Times New Roman"/>
                <w:b/>
                <w:sz w:val="24"/>
                <w:szCs w:val="24"/>
              </w:rPr>
              <w:t>Gen liczby : jak dzieci uczą się matematyki?</w:t>
            </w:r>
            <w:r w:rsidRPr="00250659">
              <w:rPr>
                <w:rFonts w:ascii="Times New Roman" w:hAnsi="Times New Roman" w:cs="Times New Roman"/>
                <w:sz w:val="24"/>
                <w:szCs w:val="24"/>
              </w:rPr>
              <w:t xml:space="preserve"> / Małgorzata </w:t>
            </w:r>
            <w:proofErr w:type="spellStart"/>
            <w:r w:rsidRPr="00250659">
              <w:rPr>
                <w:rFonts w:ascii="Times New Roman" w:hAnsi="Times New Roman" w:cs="Times New Roman"/>
                <w:sz w:val="24"/>
                <w:szCs w:val="24"/>
              </w:rPr>
              <w:t>Skura</w:t>
            </w:r>
            <w:proofErr w:type="spellEnd"/>
            <w:r w:rsidRPr="00250659">
              <w:rPr>
                <w:rFonts w:ascii="Times New Roman" w:hAnsi="Times New Roman" w:cs="Times New Roman"/>
                <w:sz w:val="24"/>
                <w:szCs w:val="24"/>
              </w:rPr>
              <w:t>, Michał Lisicki. -</w:t>
            </w:r>
            <w:r w:rsidRPr="00250659">
              <w:rPr>
                <w:rFonts w:ascii="Times New Roman" w:hAnsi="Times New Roman" w:cs="Times New Roman"/>
                <w:sz w:val="24"/>
                <w:szCs w:val="24"/>
              </w:rPr>
              <w:t xml:space="preserve"> Warszawa : </w:t>
            </w:r>
            <w:r w:rsidRPr="00250659">
              <w:rPr>
                <w:rFonts w:ascii="Times New Roman" w:hAnsi="Times New Roman" w:cs="Times New Roman"/>
                <w:sz w:val="24"/>
                <w:szCs w:val="24"/>
              </w:rPr>
              <w:t>"</w:t>
            </w:r>
            <w:proofErr w:type="spellStart"/>
            <w:r w:rsidRPr="00250659">
              <w:rPr>
                <w:rFonts w:ascii="Times New Roman" w:hAnsi="Times New Roman" w:cs="Times New Roman"/>
                <w:sz w:val="24"/>
                <w:szCs w:val="24"/>
              </w:rPr>
              <w:t>Mamania</w:t>
            </w:r>
            <w:proofErr w:type="spellEnd"/>
            <w:r w:rsidRPr="00250659">
              <w:rPr>
                <w:rFonts w:ascii="Times New Roman" w:hAnsi="Times New Roman" w:cs="Times New Roman"/>
                <w:sz w:val="24"/>
                <w:szCs w:val="24"/>
              </w:rPr>
              <w:t>" 2018.</w:t>
            </w:r>
          </w:p>
          <w:p w:rsidR="00250659" w:rsidRDefault="00250659" w:rsidP="00714F19">
            <w:pPr>
              <w:autoSpaceDE w:val="0"/>
              <w:autoSpaceDN w:val="0"/>
              <w:adjustRightInd w:val="0"/>
              <w:spacing w:after="0" w:line="240" w:lineRule="auto"/>
              <w:jc w:val="both"/>
              <w:rPr>
                <w:rFonts w:ascii="Times New Roman" w:hAnsi="Times New Roman" w:cs="Times New Roman"/>
                <w:sz w:val="24"/>
                <w:szCs w:val="24"/>
              </w:rPr>
            </w:pPr>
          </w:p>
          <w:p w:rsidR="00714F19" w:rsidRPr="00250659" w:rsidRDefault="002E5024" w:rsidP="00714F19">
            <w:pPr>
              <w:autoSpaceDE w:val="0"/>
              <w:autoSpaceDN w:val="0"/>
              <w:adjustRightInd w:val="0"/>
              <w:spacing w:after="0" w:line="240" w:lineRule="auto"/>
              <w:jc w:val="both"/>
              <w:rPr>
                <w:rFonts w:ascii="Times New Roman" w:hAnsi="Times New Roman" w:cs="Times New Roman"/>
                <w:sz w:val="24"/>
                <w:szCs w:val="24"/>
              </w:rPr>
            </w:pPr>
            <w:r w:rsidRPr="00250659">
              <w:rPr>
                <w:rFonts w:ascii="Times New Roman" w:hAnsi="Times New Roman" w:cs="Times New Roman"/>
                <w:sz w:val="24"/>
                <w:szCs w:val="24"/>
              </w:rPr>
              <w:t xml:space="preserve">Przemyśl </w:t>
            </w:r>
            <w:r w:rsidR="00250659" w:rsidRPr="00250659">
              <w:rPr>
                <w:rFonts w:ascii="Times New Roman" w:hAnsi="Times New Roman" w:cs="Times New Roman"/>
                <w:sz w:val="24"/>
                <w:szCs w:val="24"/>
              </w:rPr>
              <w:t>WP 113463</w:t>
            </w:r>
          </w:p>
          <w:p w:rsidR="00250659" w:rsidRDefault="00250659" w:rsidP="00714F19">
            <w:pPr>
              <w:autoSpaceDE w:val="0"/>
              <w:autoSpaceDN w:val="0"/>
              <w:adjustRightInd w:val="0"/>
              <w:spacing w:after="0" w:line="240" w:lineRule="auto"/>
              <w:jc w:val="both"/>
              <w:rPr>
                <w:rFonts w:ascii="Times New Roman" w:hAnsi="Times New Roman" w:cs="Times New Roman"/>
                <w:sz w:val="24"/>
                <w:szCs w:val="24"/>
              </w:rPr>
            </w:pPr>
          </w:p>
          <w:p w:rsidR="002E5024" w:rsidRPr="00250659" w:rsidRDefault="00250659" w:rsidP="00714F19">
            <w:pPr>
              <w:autoSpaceDE w:val="0"/>
              <w:autoSpaceDN w:val="0"/>
              <w:adjustRightInd w:val="0"/>
              <w:spacing w:after="0" w:line="240" w:lineRule="auto"/>
              <w:jc w:val="both"/>
              <w:rPr>
                <w:rFonts w:ascii="Times New Roman" w:hAnsi="Times New Roman" w:cs="Times New Roman"/>
                <w:sz w:val="24"/>
                <w:szCs w:val="24"/>
              </w:rPr>
            </w:pPr>
            <w:r w:rsidRPr="00250659">
              <w:rPr>
                <w:rFonts w:ascii="Times New Roman" w:hAnsi="Times New Roman" w:cs="Times New Roman"/>
                <w:sz w:val="24"/>
                <w:szCs w:val="24"/>
              </w:rPr>
              <w:t>Matematyka jak mało która nauka uczy przede wszystkim myśleć, dlatego tak ważne jest, żeby dziecko z radością wkraczało w świat pojęć matematycznych. „Gen liczby” prezentuje pomysł na edukację matematyczną małego dziecka. Autorzy pomagają dorosłym zrozumieć, jak rozwija się myślenie matematyczne, podpowiadają, na co warto zwrócić uwagę, aby dzieciństwo dobrze zaowocowało wtedy, kiedy przyjdzie czas na regularną edukację matematyczną. Książka tłumaczy, jak codzienne aktywności przyczyniają się do rozwoju umysłowego, jak pokierować uwagą dziecka tak, by zauważyło to, co ważne z matematycznego punktu widzenia.</w:t>
            </w:r>
          </w:p>
        </w:tc>
        <w:tc>
          <w:tcPr>
            <w:tcW w:w="2660" w:type="dxa"/>
            <w:tcBorders>
              <w:bottom w:val="single" w:sz="4" w:space="0" w:color="auto"/>
            </w:tcBorders>
          </w:tcPr>
          <w:p w:rsidR="008075F3" w:rsidRPr="00611A16" w:rsidRDefault="008075F3" w:rsidP="00F733B8">
            <w:pPr>
              <w:rPr>
                <w:rFonts w:ascii="Arial" w:hAnsi="Arial" w:cs="Arial"/>
                <w:noProof/>
                <w:color w:val="666666"/>
                <w:sz w:val="15"/>
                <w:szCs w:val="15"/>
                <w:lang w:eastAsia="pl-PL"/>
              </w:rPr>
            </w:pPr>
            <w:r>
              <w:rPr>
                <w:rFonts w:ascii="Arial" w:hAnsi="Arial" w:cs="Arial"/>
                <w:noProof/>
                <w:color w:val="666666"/>
                <w:sz w:val="15"/>
                <w:szCs w:val="15"/>
                <w:lang w:eastAsia="pl-PL"/>
              </w:rPr>
              <w:t xml:space="preserve">   </w:t>
            </w:r>
            <w:r w:rsidR="00250659">
              <w:rPr>
                <w:noProof/>
                <w:lang w:eastAsia="pl-PL"/>
              </w:rPr>
              <w:drawing>
                <wp:inline distT="0" distB="0" distL="0" distR="0">
                  <wp:extent cx="1571625" cy="1930066"/>
                  <wp:effectExtent l="0" t="0" r="0" b="0"/>
                  <wp:docPr id="7" name="Obraz 7" descr="Gen liczby. Jak dzieci uczą się matematyki? - Skura Małgorzata, Lisicki Micha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 liczby. Jak dzieci uczą się matematyki? - Skura Małgorzata, Lisicki Micha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044" cy="1940405"/>
                          </a:xfrm>
                          <a:prstGeom prst="rect">
                            <a:avLst/>
                          </a:prstGeom>
                          <a:noFill/>
                          <a:ln>
                            <a:noFill/>
                          </a:ln>
                        </pic:spPr>
                      </pic:pic>
                    </a:graphicData>
                  </a:graphic>
                </wp:inline>
              </w:drawing>
            </w:r>
          </w:p>
          <w:p w:rsidR="008075F3" w:rsidRDefault="008075F3" w:rsidP="00F733B8">
            <w:r>
              <w:t xml:space="preserve">    </w:t>
            </w:r>
          </w:p>
          <w:p w:rsidR="008075F3" w:rsidRDefault="008075F3" w:rsidP="00F733B8"/>
          <w:p w:rsidR="008075F3" w:rsidRDefault="008075F3" w:rsidP="00F733B8"/>
          <w:p w:rsidR="008075F3" w:rsidRDefault="008075F3" w:rsidP="00F733B8"/>
        </w:tc>
      </w:tr>
      <w:tr w:rsidR="00A67C9C" w:rsidTr="00714F19">
        <w:tc>
          <w:tcPr>
            <w:tcW w:w="6946" w:type="dxa"/>
          </w:tcPr>
          <w:p w:rsidR="001F320A" w:rsidRDefault="001F320A" w:rsidP="001F320A">
            <w:pPr>
              <w:autoSpaceDE w:val="0"/>
              <w:autoSpaceDN w:val="0"/>
              <w:adjustRightInd w:val="0"/>
              <w:spacing w:after="0" w:line="240" w:lineRule="auto"/>
              <w:jc w:val="both"/>
              <w:rPr>
                <w:rFonts w:ascii="Times New Roman" w:hAnsi="Times New Roman" w:cs="Times New Roman"/>
                <w:sz w:val="24"/>
                <w:szCs w:val="24"/>
              </w:rPr>
            </w:pPr>
          </w:p>
          <w:p w:rsidR="00714F19" w:rsidRPr="00250659" w:rsidRDefault="00250659" w:rsidP="00250659">
            <w:pPr>
              <w:autoSpaceDE w:val="0"/>
              <w:autoSpaceDN w:val="0"/>
              <w:adjustRightInd w:val="0"/>
              <w:spacing w:after="0" w:line="240" w:lineRule="auto"/>
              <w:jc w:val="both"/>
              <w:rPr>
                <w:rFonts w:ascii="Times New Roman" w:hAnsi="Times New Roman" w:cs="Times New Roman"/>
                <w:sz w:val="24"/>
                <w:szCs w:val="24"/>
              </w:rPr>
            </w:pPr>
            <w:r w:rsidRPr="00250659">
              <w:rPr>
                <w:rFonts w:ascii="Times New Roman" w:hAnsi="Times New Roman" w:cs="Times New Roman"/>
                <w:b/>
                <w:sz w:val="24"/>
                <w:szCs w:val="24"/>
              </w:rPr>
              <w:t>Sukces wychowania : jak budować dobre relacje w grupie : poradnik dla nauczycieli, treneró</w:t>
            </w:r>
            <w:r w:rsidRPr="00250659">
              <w:rPr>
                <w:rFonts w:ascii="Times New Roman" w:hAnsi="Times New Roman" w:cs="Times New Roman"/>
                <w:b/>
                <w:sz w:val="24"/>
                <w:szCs w:val="24"/>
              </w:rPr>
              <w:t xml:space="preserve">w </w:t>
            </w:r>
            <w:r w:rsidRPr="00250659">
              <w:rPr>
                <w:rFonts w:ascii="Times New Roman" w:hAnsi="Times New Roman" w:cs="Times New Roman"/>
                <w:b/>
                <w:sz w:val="24"/>
                <w:szCs w:val="24"/>
              </w:rPr>
              <w:t>i pedagogów</w:t>
            </w:r>
            <w:r w:rsidRPr="00250659">
              <w:rPr>
                <w:rFonts w:ascii="Times New Roman" w:hAnsi="Times New Roman" w:cs="Times New Roman"/>
                <w:sz w:val="24"/>
                <w:szCs w:val="24"/>
              </w:rPr>
              <w:t xml:space="preserve"> / Mariusz Rzeszotek. - Warszawa : "</w:t>
            </w:r>
            <w:proofErr w:type="spellStart"/>
            <w:r w:rsidRPr="00250659">
              <w:rPr>
                <w:rFonts w:ascii="Times New Roman" w:hAnsi="Times New Roman" w:cs="Times New Roman"/>
                <w:sz w:val="24"/>
                <w:szCs w:val="24"/>
              </w:rPr>
              <w:t>Difin</w:t>
            </w:r>
            <w:proofErr w:type="spellEnd"/>
            <w:r w:rsidRPr="00250659">
              <w:rPr>
                <w:rFonts w:ascii="Times New Roman" w:hAnsi="Times New Roman" w:cs="Times New Roman"/>
                <w:sz w:val="24"/>
                <w:szCs w:val="24"/>
              </w:rPr>
              <w:t>" 2018.</w:t>
            </w:r>
          </w:p>
          <w:p w:rsidR="00250659" w:rsidRDefault="00250659" w:rsidP="003C1FD1">
            <w:pPr>
              <w:autoSpaceDE w:val="0"/>
              <w:autoSpaceDN w:val="0"/>
              <w:adjustRightInd w:val="0"/>
              <w:spacing w:after="0" w:line="240" w:lineRule="auto"/>
              <w:jc w:val="both"/>
              <w:rPr>
                <w:rFonts w:ascii="Times New Roman" w:hAnsi="Times New Roman" w:cs="Times New Roman"/>
                <w:sz w:val="24"/>
                <w:szCs w:val="24"/>
              </w:rPr>
            </w:pPr>
          </w:p>
          <w:p w:rsidR="00714F19" w:rsidRPr="00250659" w:rsidRDefault="00714F19" w:rsidP="003C1FD1">
            <w:pPr>
              <w:autoSpaceDE w:val="0"/>
              <w:autoSpaceDN w:val="0"/>
              <w:adjustRightInd w:val="0"/>
              <w:spacing w:after="0" w:line="240" w:lineRule="auto"/>
              <w:jc w:val="both"/>
              <w:rPr>
                <w:rFonts w:ascii="Times New Roman" w:hAnsi="Times New Roman" w:cs="Times New Roman"/>
                <w:sz w:val="24"/>
                <w:szCs w:val="24"/>
              </w:rPr>
            </w:pPr>
            <w:r w:rsidRPr="00250659">
              <w:rPr>
                <w:rFonts w:ascii="Times New Roman" w:hAnsi="Times New Roman" w:cs="Times New Roman"/>
                <w:sz w:val="24"/>
                <w:szCs w:val="24"/>
              </w:rPr>
              <w:t xml:space="preserve">Przemyśl </w:t>
            </w:r>
            <w:r w:rsidR="00250659" w:rsidRPr="00250659">
              <w:rPr>
                <w:rFonts w:ascii="Times New Roman" w:hAnsi="Times New Roman" w:cs="Times New Roman"/>
                <w:sz w:val="24"/>
                <w:szCs w:val="24"/>
              </w:rPr>
              <w:t>WP 113375</w:t>
            </w:r>
          </w:p>
          <w:p w:rsidR="00714F19" w:rsidRDefault="00714F19" w:rsidP="004765C0">
            <w:pPr>
              <w:autoSpaceDE w:val="0"/>
              <w:autoSpaceDN w:val="0"/>
              <w:adjustRightInd w:val="0"/>
              <w:spacing w:after="0" w:line="240" w:lineRule="auto"/>
              <w:jc w:val="both"/>
              <w:rPr>
                <w:rFonts w:ascii="Times New Roman" w:hAnsi="Times New Roman" w:cs="Times New Roman"/>
                <w:sz w:val="24"/>
                <w:szCs w:val="24"/>
              </w:rPr>
            </w:pPr>
          </w:p>
          <w:p w:rsidR="004765C0" w:rsidRPr="004765C0" w:rsidRDefault="004765C0" w:rsidP="004765C0">
            <w:pPr>
              <w:autoSpaceDE w:val="0"/>
              <w:autoSpaceDN w:val="0"/>
              <w:adjustRightInd w:val="0"/>
              <w:spacing w:after="0" w:line="240" w:lineRule="auto"/>
              <w:jc w:val="both"/>
              <w:rPr>
                <w:rFonts w:ascii="Times New Roman" w:hAnsi="Times New Roman" w:cs="Times New Roman"/>
                <w:sz w:val="24"/>
                <w:szCs w:val="24"/>
              </w:rPr>
            </w:pPr>
            <w:r w:rsidRPr="004765C0">
              <w:rPr>
                <w:rFonts w:ascii="Times New Roman" w:hAnsi="Times New Roman" w:cs="Times New Roman"/>
                <w:sz w:val="24"/>
                <w:szCs w:val="24"/>
              </w:rPr>
              <w:t xml:space="preserve">Czy chcesz podjąć wyzwanie, jakim jest zbudowanie zgranego </w:t>
            </w:r>
            <w:r>
              <w:rPr>
                <w:rFonts w:ascii="Times New Roman" w:hAnsi="Times New Roman" w:cs="Times New Roman"/>
                <w:sz w:val="24"/>
                <w:szCs w:val="24"/>
              </w:rPr>
              <w:br/>
            </w:r>
            <w:r w:rsidRPr="004765C0">
              <w:rPr>
                <w:rFonts w:ascii="Times New Roman" w:hAnsi="Times New Roman" w:cs="Times New Roman"/>
                <w:sz w:val="24"/>
                <w:szCs w:val="24"/>
              </w:rPr>
              <w:t>i skutecznego zespołu? Zastanawiasz się, jak poradzisz sobie w roli początkującego lidera i mentora? Dzięki tej książce wszystko stanie się łatwe i oczywiste. Dowiesz się, jak osiągać sukcesy zawodowe jako nauczyciel, trener czy pedagog. Na tych stronach znajdziesz gotowy sposób, jak krok po kroku przejść przez planowanie, realizację oraz ewaluację swoich działań tak, by były one skuteczne! Znajdziesz tu konkretne narzędzia, najważniejsze informacje i pozytywną energię. Trzymasz w rękach sprawdzony przepis na sukces wychowania.</w:t>
            </w:r>
          </w:p>
        </w:tc>
        <w:tc>
          <w:tcPr>
            <w:tcW w:w="2660" w:type="dxa"/>
            <w:tcBorders>
              <w:bottom w:val="nil"/>
            </w:tcBorders>
          </w:tcPr>
          <w:p w:rsidR="00A67C9C" w:rsidRDefault="00250659" w:rsidP="00F733B8">
            <w:pPr>
              <w:rPr>
                <w:rFonts w:ascii="Arial" w:hAnsi="Arial" w:cs="Arial"/>
                <w:noProof/>
                <w:color w:val="666666"/>
                <w:sz w:val="15"/>
                <w:szCs w:val="15"/>
                <w:lang w:eastAsia="pl-PL"/>
              </w:rPr>
            </w:pPr>
            <w:r>
              <w:rPr>
                <w:noProof/>
                <w:lang w:eastAsia="pl-PL"/>
              </w:rPr>
              <w:drawing>
                <wp:inline distT="0" distB="0" distL="0" distR="0">
                  <wp:extent cx="1619250" cy="2137410"/>
                  <wp:effectExtent l="0" t="0" r="0" b="0"/>
                  <wp:docPr id="9" name="Obraz 9" descr="Sukces wychowania. Jak budować dobre relacje w gru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kces wychowania. Jak budować dobre relacje w gru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93" cy="2142483"/>
                          </a:xfrm>
                          <a:prstGeom prst="rect">
                            <a:avLst/>
                          </a:prstGeom>
                          <a:noFill/>
                          <a:ln>
                            <a:noFill/>
                          </a:ln>
                        </pic:spPr>
                      </pic:pic>
                    </a:graphicData>
                  </a:graphic>
                </wp:inline>
              </w:drawing>
            </w:r>
          </w:p>
          <w:p w:rsidR="00714F19" w:rsidRDefault="00714F19" w:rsidP="00714F19">
            <w:pPr>
              <w:jc w:val="center"/>
              <w:rPr>
                <w:rFonts w:ascii="Arial" w:hAnsi="Arial" w:cs="Arial"/>
                <w:noProof/>
                <w:color w:val="666666"/>
                <w:sz w:val="15"/>
                <w:szCs w:val="15"/>
                <w:lang w:eastAsia="pl-PL"/>
              </w:rPr>
            </w:pPr>
          </w:p>
        </w:tc>
      </w:tr>
    </w:tbl>
    <w:p w:rsidR="00C32BE7" w:rsidRPr="001A2817" w:rsidRDefault="008075F3" w:rsidP="001A2817">
      <w:pPr>
        <w:jc w:val="right"/>
        <w:rPr>
          <w:rFonts w:ascii="Times New Roman" w:hAnsi="Times New Roman" w:cs="Times New Roman"/>
          <w:sz w:val="24"/>
          <w:szCs w:val="24"/>
        </w:rPr>
      </w:pPr>
      <w:bookmarkStart w:id="0" w:name="_GoBack"/>
      <w:bookmarkEnd w:id="0"/>
      <w:r w:rsidRPr="00002886">
        <w:rPr>
          <w:rFonts w:ascii="Times New Roman" w:hAnsi="Times New Roman" w:cs="Times New Roman"/>
          <w:sz w:val="24"/>
          <w:szCs w:val="24"/>
        </w:rPr>
        <w:t xml:space="preserve">Na podstawie recenzji wydawców przygotowała </w:t>
      </w:r>
      <w:r>
        <w:rPr>
          <w:rFonts w:ascii="Times New Roman" w:hAnsi="Times New Roman" w:cs="Times New Roman"/>
          <w:sz w:val="24"/>
          <w:szCs w:val="24"/>
        </w:rPr>
        <w:t xml:space="preserve">Lilianna </w:t>
      </w:r>
      <w:proofErr w:type="spellStart"/>
      <w:r w:rsidRPr="00002886">
        <w:rPr>
          <w:rFonts w:ascii="Times New Roman" w:hAnsi="Times New Roman" w:cs="Times New Roman"/>
          <w:sz w:val="24"/>
          <w:szCs w:val="24"/>
        </w:rPr>
        <w:t>Żywutska</w:t>
      </w:r>
      <w:proofErr w:type="spellEnd"/>
    </w:p>
    <w:sectPr w:rsidR="00C32BE7" w:rsidRPr="001A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B12"/>
    <w:multiLevelType w:val="multilevel"/>
    <w:tmpl w:val="3D8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C5"/>
    <w:rsid w:val="00040F15"/>
    <w:rsid w:val="000770A6"/>
    <w:rsid w:val="001A2817"/>
    <w:rsid w:val="001F320A"/>
    <w:rsid w:val="00250659"/>
    <w:rsid w:val="002D0A21"/>
    <w:rsid w:val="002E1ED8"/>
    <w:rsid w:val="002E5024"/>
    <w:rsid w:val="003C1FD1"/>
    <w:rsid w:val="003E59B3"/>
    <w:rsid w:val="004765C0"/>
    <w:rsid w:val="0047710E"/>
    <w:rsid w:val="004F5ADF"/>
    <w:rsid w:val="005B2BC5"/>
    <w:rsid w:val="005F752A"/>
    <w:rsid w:val="006654AF"/>
    <w:rsid w:val="006708B7"/>
    <w:rsid w:val="006859A2"/>
    <w:rsid w:val="00714F19"/>
    <w:rsid w:val="007316BE"/>
    <w:rsid w:val="007C17D0"/>
    <w:rsid w:val="007F6042"/>
    <w:rsid w:val="008075F3"/>
    <w:rsid w:val="008556C5"/>
    <w:rsid w:val="008B6EB0"/>
    <w:rsid w:val="008C04CC"/>
    <w:rsid w:val="00A67C9C"/>
    <w:rsid w:val="00AF5204"/>
    <w:rsid w:val="00C13AC4"/>
    <w:rsid w:val="00C32BE7"/>
    <w:rsid w:val="00C65B7C"/>
    <w:rsid w:val="00E01B41"/>
    <w:rsid w:val="00E92E3D"/>
    <w:rsid w:val="00EB289B"/>
    <w:rsid w:val="00EE2FDF"/>
    <w:rsid w:val="00EE422B"/>
    <w:rsid w:val="00FA4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2F8E"/>
  <w15:chartTrackingRefBased/>
  <w15:docId w15:val="{1C01297B-8B0D-4668-963A-C27FB77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5F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0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8075F3"/>
    <w:pPr>
      <w:spacing w:before="125" w:after="125" w:line="240" w:lineRule="auto"/>
    </w:pPr>
    <w:rPr>
      <w:rFonts w:ascii="Times New Roman" w:eastAsia="Times New Roman" w:hAnsi="Times New Roman" w:cs="Times New Roman"/>
      <w:color w:val="000000"/>
      <w:sz w:val="14"/>
      <w:szCs w:val="14"/>
      <w:lang w:eastAsia="pl-PL"/>
    </w:rPr>
  </w:style>
  <w:style w:type="character" w:styleId="Hipercze">
    <w:name w:val="Hyperlink"/>
    <w:basedOn w:val="Domylnaczcionkaakapitu"/>
    <w:uiPriority w:val="99"/>
    <w:semiHidden/>
    <w:unhideWhenUsed/>
    <w:rsid w:val="008075F3"/>
    <w:rPr>
      <w:color w:val="0000FF"/>
      <w:u w:val="single"/>
    </w:rPr>
  </w:style>
  <w:style w:type="paragraph" w:styleId="NormalnyWeb">
    <w:name w:val="Normal (Web)"/>
    <w:basedOn w:val="Normalny"/>
    <w:uiPriority w:val="99"/>
    <w:unhideWhenUsed/>
    <w:rsid w:val="008075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7">
    <w:name w:val="A7"/>
    <w:uiPriority w:val="99"/>
    <w:rsid w:val="00AF5204"/>
    <w:rPr>
      <w:rFonts w:cs="Myriad Pr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9642">
      <w:bodyDiv w:val="1"/>
      <w:marLeft w:val="0"/>
      <w:marRight w:val="0"/>
      <w:marTop w:val="0"/>
      <w:marBottom w:val="0"/>
      <w:divBdr>
        <w:top w:val="none" w:sz="0" w:space="0" w:color="auto"/>
        <w:left w:val="none" w:sz="0" w:space="0" w:color="auto"/>
        <w:bottom w:val="none" w:sz="0" w:space="0" w:color="auto"/>
        <w:right w:val="none" w:sz="0" w:space="0" w:color="auto"/>
      </w:divBdr>
    </w:div>
    <w:div w:id="99643356">
      <w:bodyDiv w:val="1"/>
      <w:marLeft w:val="0"/>
      <w:marRight w:val="0"/>
      <w:marTop w:val="0"/>
      <w:marBottom w:val="0"/>
      <w:divBdr>
        <w:top w:val="none" w:sz="0" w:space="0" w:color="auto"/>
        <w:left w:val="none" w:sz="0" w:space="0" w:color="auto"/>
        <w:bottom w:val="none" w:sz="0" w:space="0" w:color="auto"/>
        <w:right w:val="none" w:sz="0" w:space="0" w:color="auto"/>
      </w:divBdr>
    </w:div>
    <w:div w:id="221791055">
      <w:bodyDiv w:val="1"/>
      <w:marLeft w:val="0"/>
      <w:marRight w:val="0"/>
      <w:marTop w:val="0"/>
      <w:marBottom w:val="0"/>
      <w:divBdr>
        <w:top w:val="none" w:sz="0" w:space="0" w:color="auto"/>
        <w:left w:val="none" w:sz="0" w:space="0" w:color="auto"/>
        <w:bottom w:val="none" w:sz="0" w:space="0" w:color="auto"/>
        <w:right w:val="none" w:sz="0" w:space="0" w:color="auto"/>
      </w:divBdr>
    </w:div>
    <w:div w:id="362098603">
      <w:bodyDiv w:val="1"/>
      <w:marLeft w:val="0"/>
      <w:marRight w:val="0"/>
      <w:marTop w:val="0"/>
      <w:marBottom w:val="0"/>
      <w:divBdr>
        <w:top w:val="none" w:sz="0" w:space="0" w:color="auto"/>
        <w:left w:val="none" w:sz="0" w:space="0" w:color="auto"/>
        <w:bottom w:val="none" w:sz="0" w:space="0" w:color="auto"/>
        <w:right w:val="none" w:sz="0" w:space="0" w:color="auto"/>
      </w:divBdr>
    </w:div>
    <w:div w:id="718238667">
      <w:bodyDiv w:val="1"/>
      <w:marLeft w:val="0"/>
      <w:marRight w:val="0"/>
      <w:marTop w:val="0"/>
      <w:marBottom w:val="0"/>
      <w:divBdr>
        <w:top w:val="none" w:sz="0" w:space="0" w:color="auto"/>
        <w:left w:val="none" w:sz="0" w:space="0" w:color="auto"/>
        <w:bottom w:val="none" w:sz="0" w:space="0" w:color="auto"/>
        <w:right w:val="none" w:sz="0" w:space="0" w:color="auto"/>
      </w:divBdr>
      <w:divsChild>
        <w:div w:id="1679430939">
          <w:marLeft w:val="0"/>
          <w:marRight w:val="0"/>
          <w:marTop w:val="0"/>
          <w:marBottom w:val="0"/>
          <w:divBdr>
            <w:top w:val="none" w:sz="0" w:space="0" w:color="auto"/>
            <w:left w:val="none" w:sz="0" w:space="0" w:color="auto"/>
            <w:bottom w:val="none" w:sz="0" w:space="0" w:color="auto"/>
            <w:right w:val="none" w:sz="0" w:space="0" w:color="auto"/>
          </w:divBdr>
          <w:divsChild>
            <w:div w:id="1589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38">
      <w:bodyDiv w:val="1"/>
      <w:marLeft w:val="0"/>
      <w:marRight w:val="0"/>
      <w:marTop w:val="0"/>
      <w:marBottom w:val="0"/>
      <w:divBdr>
        <w:top w:val="none" w:sz="0" w:space="0" w:color="auto"/>
        <w:left w:val="none" w:sz="0" w:space="0" w:color="auto"/>
        <w:bottom w:val="none" w:sz="0" w:space="0" w:color="auto"/>
        <w:right w:val="none" w:sz="0" w:space="0" w:color="auto"/>
      </w:divBdr>
    </w:div>
    <w:div w:id="873426362">
      <w:bodyDiv w:val="1"/>
      <w:marLeft w:val="0"/>
      <w:marRight w:val="0"/>
      <w:marTop w:val="0"/>
      <w:marBottom w:val="0"/>
      <w:divBdr>
        <w:top w:val="none" w:sz="0" w:space="0" w:color="auto"/>
        <w:left w:val="none" w:sz="0" w:space="0" w:color="auto"/>
        <w:bottom w:val="none" w:sz="0" w:space="0" w:color="auto"/>
        <w:right w:val="none" w:sz="0" w:space="0" w:color="auto"/>
      </w:divBdr>
    </w:div>
    <w:div w:id="915751084">
      <w:bodyDiv w:val="1"/>
      <w:marLeft w:val="0"/>
      <w:marRight w:val="0"/>
      <w:marTop w:val="0"/>
      <w:marBottom w:val="0"/>
      <w:divBdr>
        <w:top w:val="none" w:sz="0" w:space="0" w:color="auto"/>
        <w:left w:val="none" w:sz="0" w:space="0" w:color="auto"/>
        <w:bottom w:val="none" w:sz="0" w:space="0" w:color="auto"/>
        <w:right w:val="none" w:sz="0" w:space="0" w:color="auto"/>
      </w:divBdr>
    </w:div>
    <w:div w:id="960694795">
      <w:bodyDiv w:val="1"/>
      <w:marLeft w:val="0"/>
      <w:marRight w:val="0"/>
      <w:marTop w:val="0"/>
      <w:marBottom w:val="0"/>
      <w:divBdr>
        <w:top w:val="none" w:sz="0" w:space="0" w:color="auto"/>
        <w:left w:val="none" w:sz="0" w:space="0" w:color="auto"/>
        <w:bottom w:val="none" w:sz="0" w:space="0" w:color="auto"/>
        <w:right w:val="none" w:sz="0" w:space="0" w:color="auto"/>
      </w:divBdr>
    </w:div>
    <w:div w:id="1200581342">
      <w:bodyDiv w:val="1"/>
      <w:marLeft w:val="0"/>
      <w:marRight w:val="0"/>
      <w:marTop w:val="0"/>
      <w:marBottom w:val="0"/>
      <w:divBdr>
        <w:top w:val="none" w:sz="0" w:space="0" w:color="auto"/>
        <w:left w:val="none" w:sz="0" w:space="0" w:color="auto"/>
        <w:bottom w:val="none" w:sz="0" w:space="0" w:color="auto"/>
        <w:right w:val="none" w:sz="0" w:space="0" w:color="auto"/>
      </w:divBdr>
      <w:divsChild>
        <w:div w:id="50155074">
          <w:marLeft w:val="0"/>
          <w:marRight w:val="0"/>
          <w:marTop w:val="0"/>
          <w:marBottom w:val="0"/>
          <w:divBdr>
            <w:top w:val="none" w:sz="0" w:space="0" w:color="auto"/>
            <w:left w:val="none" w:sz="0" w:space="0" w:color="auto"/>
            <w:bottom w:val="none" w:sz="0" w:space="0" w:color="auto"/>
            <w:right w:val="none" w:sz="0" w:space="0" w:color="auto"/>
          </w:divBdr>
          <w:divsChild>
            <w:div w:id="912814422">
              <w:marLeft w:val="0"/>
              <w:marRight w:val="0"/>
              <w:marTop w:val="0"/>
              <w:marBottom w:val="0"/>
              <w:divBdr>
                <w:top w:val="none" w:sz="0" w:space="0" w:color="auto"/>
                <w:left w:val="none" w:sz="0" w:space="0" w:color="auto"/>
                <w:bottom w:val="none" w:sz="0" w:space="0" w:color="auto"/>
                <w:right w:val="none" w:sz="0" w:space="0" w:color="auto"/>
              </w:divBdr>
            </w:div>
            <w:div w:id="6532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5767">
      <w:bodyDiv w:val="1"/>
      <w:marLeft w:val="0"/>
      <w:marRight w:val="0"/>
      <w:marTop w:val="0"/>
      <w:marBottom w:val="0"/>
      <w:divBdr>
        <w:top w:val="none" w:sz="0" w:space="0" w:color="auto"/>
        <w:left w:val="none" w:sz="0" w:space="0" w:color="auto"/>
        <w:bottom w:val="none" w:sz="0" w:space="0" w:color="auto"/>
        <w:right w:val="none" w:sz="0" w:space="0" w:color="auto"/>
      </w:divBdr>
    </w:div>
    <w:div w:id="1678070223">
      <w:bodyDiv w:val="1"/>
      <w:marLeft w:val="0"/>
      <w:marRight w:val="0"/>
      <w:marTop w:val="0"/>
      <w:marBottom w:val="0"/>
      <w:divBdr>
        <w:top w:val="none" w:sz="0" w:space="0" w:color="auto"/>
        <w:left w:val="none" w:sz="0" w:space="0" w:color="auto"/>
        <w:bottom w:val="none" w:sz="0" w:space="0" w:color="auto"/>
        <w:right w:val="none" w:sz="0" w:space="0" w:color="auto"/>
      </w:divBdr>
    </w:div>
    <w:div w:id="1813252893">
      <w:bodyDiv w:val="1"/>
      <w:marLeft w:val="0"/>
      <w:marRight w:val="0"/>
      <w:marTop w:val="0"/>
      <w:marBottom w:val="0"/>
      <w:divBdr>
        <w:top w:val="none" w:sz="0" w:space="0" w:color="auto"/>
        <w:left w:val="none" w:sz="0" w:space="0" w:color="auto"/>
        <w:bottom w:val="none" w:sz="0" w:space="0" w:color="auto"/>
        <w:right w:val="none" w:sz="0" w:space="0" w:color="auto"/>
      </w:divBdr>
    </w:div>
    <w:div w:id="18546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538</Words>
  <Characters>3228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11</cp:revision>
  <dcterms:created xsi:type="dcterms:W3CDTF">2019-04-26T10:55:00Z</dcterms:created>
  <dcterms:modified xsi:type="dcterms:W3CDTF">2020-03-09T13:47:00Z</dcterms:modified>
</cp:coreProperties>
</file>